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right="38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Отгрузка товаров по ВЭД</w:t>
      </w:r>
      <w:r>
        <w:rPr>
          <w:b/>
          <w:sz w:val="26"/>
          <w:szCs w:val="26"/>
        </w:rPr>
      </w:r>
    </w:p>
    <w:p>
      <w:pPr>
        <w:pStyle w:val="1_673"/>
        <w:ind w:right="38" w:firstLine="709"/>
        <w:spacing w:before="60" w:after="60"/>
        <w:tabs>
          <w:tab w:val="left" w:pos="993" w:leader="none"/>
        </w:tabs>
        <w:rPr>
          <w:szCs w:val="24"/>
        </w:rPr>
      </w:pPr>
      <w:r>
        <w:rPr>
          <w:sz w:val="28"/>
          <w:szCs w:val="28"/>
        </w:rPr>
        <w:t xml:space="preserve">За</w:t>
      </w:r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отчетный период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по оперативным данным отгружено товаров собственного производства, выполнено работ и услуг по полному кругу организаций на сумму </w:t>
      </w:r>
      <w:r>
        <w:rPr>
          <w:sz w:val="28"/>
          <w:szCs w:val="28"/>
        </w:rPr>
        <w:t xml:space="preserve">1274,7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млн. руб. ,</w:t>
      </w:r>
      <w:r>
        <w:rPr>
          <w:sz w:val="28"/>
          <w:szCs w:val="28"/>
        </w:rPr>
        <w:t xml:space="preserve"> в т.ч. в разрезе видов экономической деятельности</w:t>
      </w:r>
      <w:r>
        <w:rPr>
          <w:rStyle w:val="178"/>
          <w:sz w:val="28"/>
          <w:szCs w:val="28"/>
        </w:rPr>
        <w:footnoteReference w:id="2"/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_673"/>
        <w:ind w:right="38" w:firstLine="0"/>
        <w:spacing w:before="60" w:after="60"/>
        <w:tabs>
          <w:tab w:val="left" w:pos="993" w:leader="none"/>
        </w:tabs>
        <w:rPr>
          <w:szCs w:val="24"/>
          <w:highlight w:val="white"/>
        </w:rPr>
      </w:pPr>
      <w:r>
        <w:rPr>
          <w:sz w:val="28"/>
          <w:szCs w:val="28"/>
        </w:rPr>
        <w:t xml:space="preserve">- обрабатывающие производства – 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highlight w:val="white"/>
        </w:rPr>
        <w:t xml:space="preserve">12,7</w:t>
      </w:r>
      <w:r>
        <w:rPr>
          <w:sz w:val="28"/>
          <w:szCs w:val="28"/>
          <w:highlight w:val="white"/>
        </w:rPr>
        <w:t xml:space="preserve">%</w:t>
      </w:r>
      <w:r>
        <w:rPr>
          <w:rStyle w:val="178"/>
          <w:sz w:val="28"/>
          <w:szCs w:val="28"/>
          <w:highlight w:val="white"/>
        </w:rPr>
        <w:footnoteReference w:id="3"/>
      </w:r>
      <w:r>
        <w:rPr>
          <w:sz w:val="28"/>
          <w:szCs w:val="28"/>
          <w:highlight w:val="white"/>
        </w:rPr>
        <w:t xml:space="preserve"> (</w:t>
      </w:r>
      <w:r>
        <w:rPr>
          <w:sz w:val="28"/>
          <w:szCs w:val="28"/>
          <w:highlight w:val="white"/>
        </w:rPr>
        <w:t xml:space="preserve">1</w:t>
      </w:r>
      <w:r>
        <w:rPr>
          <w:sz w:val="28"/>
          <w:szCs w:val="28"/>
          <w:highlight w:val="white"/>
        </w:rPr>
        <w:t xml:space="preserve">6</w:t>
      </w:r>
      <w:r>
        <w:rPr>
          <w:sz w:val="28"/>
          <w:szCs w:val="28"/>
          <w:highlight w:val="white"/>
        </w:rPr>
        <w:t xml:space="preserve">2</w:t>
      </w:r>
      <w:r>
        <w:rPr>
          <w:sz w:val="28"/>
          <w:szCs w:val="28"/>
          <w:highlight w:val="white"/>
        </w:rPr>
        <w:t xml:space="preserve">,</w:t>
      </w:r>
      <w:r>
        <w:rPr>
          <w:sz w:val="28"/>
          <w:szCs w:val="28"/>
          <w:highlight w:val="white"/>
        </w:rPr>
        <w:t xml:space="preserve">6</w:t>
      </w:r>
      <w:r>
        <w:rPr>
          <w:sz w:val="28"/>
          <w:szCs w:val="28"/>
          <w:highlight w:val="white"/>
        </w:rPr>
        <w:t xml:space="preserve"> млн. руб.)</w:t>
      </w:r>
      <w:r>
        <w:rPr>
          <w:rStyle w:val="178"/>
          <w:sz w:val="28"/>
          <w:szCs w:val="28"/>
          <w:highlight w:val="white"/>
        </w:rPr>
        <w:footnoteReference w:id="4"/>
      </w:r>
      <w:r>
        <w:rPr>
          <w:sz w:val="28"/>
          <w:szCs w:val="28"/>
          <w:highlight w:val="white"/>
        </w:rPr>
        <w:t xml:space="preserve">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pStyle w:val="1_673"/>
        <w:ind w:right="38" w:firstLine="0"/>
        <w:spacing w:before="60" w:after="60"/>
        <w:tabs>
          <w:tab w:val="left" w:pos="993" w:leader="none"/>
        </w:tabs>
        <w:rPr>
          <w:szCs w:val="24"/>
        </w:rPr>
      </w:pPr>
      <w:r>
        <w:rPr>
          <w:b/>
          <w:sz w:val="28"/>
          <w:szCs w:val="28"/>
        </w:rPr>
        <w:t xml:space="preserve">- </w:t>
      </w:r>
      <w:r>
        <w:rPr>
          <w:sz w:val="28"/>
          <w:szCs w:val="28"/>
        </w:rPr>
        <w:t xml:space="preserve">обеспечение электрической энергией, газом и паром; кондиционирование воздуха – </w:t>
      </w:r>
      <w:r>
        <w:rPr>
          <w:sz w:val="28"/>
          <w:szCs w:val="28"/>
        </w:rPr>
        <w:t xml:space="preserve">1,4</w:t>
      </w:r>
      <w:r>
        <w:rPr>
          <w:sz w:val="28"/>
          <w:szCs w:val="28"/>
        </w:rPr>
        <w:t xml:space="preserve">% (</w:t>
      </w:r>
      <w:r>
        <w:rPr>
          <w:sz w:val="28"/>
          <w:szCs w:val="28"/>
        </w:rPr>
        <w:t xml:space="preserve">17,5</w:t>
      </w:r>
      <w:r>
        <w:rPr>
          <w:sz w:val="28"/>
          <w:szCs w:val="28"/>
        </w:rPr>
        <w:t xml:space="preserve"> млн. руб.);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_673"/>
        <w:ind w:right="38" w:firstLine="0"/>
        <w:spacing w:before="60" w:after="60"/>
        <w:tabs>
          <w:tab w:val="left" w:pos="993" w:leader="none"/>
        </w:tabs>
        <w:rPr>
          <w:szCs w:val="24"/>
        </w:rPr>
      </w:pPr>
      <w:r>
        <w:rPr>
          <w:sz w:val="28"/>
          <w:szCs w:val="28"/>
        </w:rPr>
        <w:t xml:space="preserve">- водоснабжение, водоотведение – </w:t>
      </w:r>
      <w:r>
        <w:rPr>
          <w:sz w:val="28"/>
          <w:szCs w:val="28"/>
        </w:rPr>
        <w:t xml:space="preserve">1,4</w:t>
      </w:r>
      <w:r>
        <w:rPr>
          <w:sz w:val="28"/>
          <w:szCs w:val="28"/>
        </w:rPr>
        <w:t xml:space="preserve">% (</w:t>
      </w:r>
      <w:r>
        <w:rPr>
          <w:sz w:val="28"/>
          <w:szCs w:val="28"/>
        </w:rPr>
        <w:t xml:space="preserve">17,5</w:t>
      </w:r>
      <w:r>
        <w:rPr>
          <w:sz w:val="28"/>
          <w:szCs w:val="28"/>
        </w:rPr>
        <w:t xml:space="preserve"> млн. руб.);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_673"/>
        <w:ind w:right="38" w:firstLine="0"/>
        <w:spacing w:before="60" w:after="60"/>
        <w:tabs>
          <w:tab w:val="left" w:pos="993" w:leader="none"/>
        </w:tabs>
        <w:rPr>
          <w:szCs w:val="24"/>
        </w:rPr>
      </w:pPr>
      <w:r>
        <w:rPr>
          <w:sz w:val="28"/>
          <w:szCs w:val="28"/>
        </w:rPr>
        <w:t xml:space="preserve">- сельское хозяйство – </w:t>
      </w:r>
      <w:r>
        <w:rPr>
          <w:sz w:val="28"/>
          <w:szCs w:val="28"/>
        </w:rPr>
        <w:t xml:space="preserve">79,1</w:t>
      </w:r>
      <w:r>
        <w:rPr>
          <w:sz w:val="28"/>
          <w:szCs w:val="28"/>
        </w:rPr>
        <w:t xml:space="preserve">% (1009,5</w:t>
      </w:r>
      <w:r>
        <w:rPr>
          <w:sz w:val="28"/>
          <w:szCs w:val="28"/>
        </w:rPr>
        <w:t xml:space="preserve"> млн. руб.);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_673"/>
        <w:ind w:right="38" w:firstLine="0"/>
        <w:spacing w:before="60" w:after="60"/>
        <w:tabs>
          <w:tab w:val="left" w:pos="993" w:leader="none"/>
        </w:tabs>
        <w:rPr>
          <w:szCs w:val="24"/>
        </w:rPr>
      </w:pPr>
      <w:r>
        <w:rPr>
          <w:sz w:val="28"/>
          <w:szCs w:val="28"/>
        </w:rPr>
        <w:t xml:space="preserve">- транспортировка и хранение – </w:t>
      </w:r>
      <w:r>
        <w:rPr>
          <w:sz w:val="28"/>
          <w:szCs w:val="28"/>
        </w:rPr>
        <w:t xml:space="preserve">0,2</w:t>
      </w:r>
      <w:r>
        <w:rPr>
          <w:sz w:val="28"/>
          <w:szCs w:val="28"/>
        </w:rPr>
        <w:t xml:space="preserve">% (</w:t>
      </w:r>
      <w:r>
        <w:rPr>
          <w:sz w:val="28"/>
          <w:szCs w:val="28"/>
        </w:rPr>
        <w:t xml:space="preserve">1,7</w:t>
      </w:r>
      <w:r>
        <w:rPr>
          <w:sz w:val="28"/>
          <w:szCs w:val="28"/>
        </w:rPr>
        <w:t xml:space="preserve"> млн. руб.);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_673"/>
        <w:ind w:right="38" w:firstLine="0"/>
        <w:spacing w:before="60" w:after="60"/>
        <w:tabs>
          <w:tab w:val="left" w:pos="993" w:leader="none"/>
          <w:tab w:val="left" w:pos="5536" w:leader="none"/>
        </w:tabs>
        <w:rPr>
          <w:szCs w:val="24"/>
        </w:rPr>
      </w:pPr>
      <w:r>
        <w:rPr>
          <w:sz w:val="28"/>
          <w:szCs w:val="28"/>
        </w:rPr>
        <w:t xml:space="preserve">- строительство – 3</w:t>
      </w:r>
      <w:r>
        <w:rPr>
          <w:sz w:val="28"/>
          <w:szCs w:val="28"/>
        </w:rPr>
        <w:t xml:space="preserve">,2</w:t>
      </w:r>
      <w:r>
        <w:rPr>
          <w:sz w:val="28"/>
          <w:szCs w:val="28"/>
        </w:rPr>
        <w:t xml:space="preserve">% (</w:t>
      </w:r>
      <w:r>
        <w:rPr>
          <w:sz w:val="28"/>
          <w:szCs w:val="28"/>
        </w:rPr>
        <w:t xml:space="preserve">41,8</w:t>
      </w:r>
      <w:r>
        <w:rPr>
          <w:sz w:val="28"/>
          <w:szCs w:val="28"/>
        </w:rPr>
        <w:t xml:space="preserve"> млн. руб.);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_673"/>
        <w:ind w:right="38" w:firstLine="0"/>
        <w:spacing w:before="60" w:after="60"/>
        <w:tabs>
          <w:tab w:val="left" w:pos="993" w:leader="none"/>
          <w:tab w:val="left" w:pos="5536" w:leader="none"/>
        </w:tabs>
        <w:rPr>
          <w:szCs w:val="24"/>
        </w:rPr>
      </w:pPr>
      <w:r>
        <w:rPr>
          <w:sz w:val="28"/>
          <w:szCs w:val="28"/>
        </w:rPr>
        <w:t xml:space="preserve">- добыча полезных ископаемых - </w:t>
      </w:r>
      <w:r>
        <w:rPr>
          <w:sz w:val="28"/>
          <w:szCs w:val="28"/>
        </w:rPr>
        <w:t xml:space="preserve">0</w:t>
      </w:r>
      <w:r>
        <w:rPr>
          <w:sz w:val="28"/>
          <w:szCs w:val="28"/>
        </w:rPr>
        <w:t xml:space="preserve">%</w:t>
      </w:r>
      <w:r>
        <w:rPr>
          <w:sz w:val="28"/>
          <w:szCs w:val="28"/>
        </w:rPr>
        <w:t xml:space="preserve"> (</w:t>
      </w:r>
      <w:r>
        <w:rPr>
          <w:sz w:val="28"/>
          <w:szCs w:val="28"/>
        </w:rPr>
        <w:t xml:space="preserve">0</w:t>
      </w:r>
      <w:r>
        <w:rPr>
          <w:sz w:val="28"/>
          <w:szCs w:val="28"/>
        </w:rPr>
        <w:t xml:space="preserve"> млн.руб.);</w:t>
      </w:r>
      <w:r>
        <w:rPr>
          <w:sz w:val="28"/>
          <w:szCs w:val="28"/>
        </w:rPr>
        <w:tab/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_673"/>
        <w:ind w:right="38" w:firstLine="0"/>
        <w:spacing w:before="60" w:after="60"/>
        <w:tabs>
          <w:tab w:val="left" w:pos="993" w:leader="none"/>
        </w:tabs>
        <w:rPr>
          <w:szCs w:val="24"/>
        </w:rPr>
      </w:pPr>
      <w:r>
        <w:rPr>
          <w:sz w:val="28"/>
          <w:szCs w:val="28"/>
        </w:rPr>
        <w:t xml:space="preserve">- розничная торговля  – </w:t>
      </w:r>
      <w:r>
        <w:rPr>
          <w:sz w:val="28"/>
          <w:szCs w:val="28"/>
        </w:rPr>
        <w:t xml:space="preserve">0,8</w:t>
      </w:r>
      <w:r>
        <w:rPr>
          <w:sz w:val="28"/>
          <w:szCs w:val="28"/>
        </w:rPr>
        <w:t xml:space="preserve">% (</w:t>
      </w:r>
      <w:r>
        <w:rPr>
          <w:sz w:val="28"/>
          <w:szCs w:val="28"/>
        </w:rPr>
        <w:t xml:space="preserve">9,5</w:t>
      </w:r>
      <w:r>
        <w:rPr>
          <w:sz w:val="28"/>
          <w:szCs w:val="28"/>
        </w:rPr>
        <w:t xml:space="preserve"> млн. руб.);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_673"/>
        <w:ind w:right="38" w:firstLine="0"/>
        <w:spacing w:before="60" w:after="60"/>
        <w:tabs>
          <w:tab w:val="left" w:pos="993" w:leader="none"/>
        </w:tabs>
        <w:rPr>
          <w:szCs w:val="24"/>
        </w:rPr>
      </w:pPr>
      <w:r>
        <w:rPr>
          <w:sz w:val="28"/>
          <w:szCs w:val="28"/>
        </w:rPr>
        <w:t xml:space="preserve">- прочие – </w:t>
      </w:r>
      <w:r>
        <w:rPr>
          <w:sz w:val="28"/>
          <w:szCs w:val="28"/>
        </w:rPr>
        <w:t xml:space="preserve">1,2</w:t>
      </w:r>
      <w:r>
        <w:rPr>
          <w:sz w:val="28"/>
          <w:szCs w:val="28"/>
        </w:rPr>
        <w:t xml:space="preserve">% (</w:t>
      </w:r>
      <w:r>
        <w:rPr>
          <w:sz w:val="28"/>
          <w:szCs w:val="28"/>
        </w:rPr>
        <w:t xml:space="preserve">14,6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млн. ру</w:t>
      </w:r>
      <w:r>
        <w:rPr>
          <w:sz w:val="28"/>
          <w:szCs w:val="28"/>
        </w:rPr>
        <w:t xml:space="preserve">б.</w:t>
      </w:r>
      <w:r>
        <w:rPr>
          <w:sz w:val="28"/>
          <w:szCs w:val="28"/>
        </w:rPr>
        <w:t xml:space="preserve">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Liberation Sans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  <w:footnote w:id="2">
    <w:p>
      <w:pPr>
        <w:pStyle w:val="176"/>
      </w:pPr>
      <w:r>
        <w:rPr>
          <w:rStyle w:val="178"/>
        </w:rPr>
        <w:footnoteRef/>
      </w:r>
      <w:r>
        <w:t xml:space="preserve"> </w:t>
      </w:r>
      <w:r>
        <w:rPr>
          <w:i/>
        </w:rPr>
        <w:t xml:space="preserve">Перечисляются виды экономической деятельности, начиная с вида экономической деятельности с максимальным объемом отгруженной продукции по итогам периода. Доля «прочих» ВЭД не должна превышать 10% в структуре отгруженной продукции по территории</w:t>
      </w:r>
      <w:r/>
      <w:r/>
    </w:p>
  </w:footnote>
  <w:footnote w:id="3">
    <w:p>
      <w:pPr>
        <w:pStyle w:val="1_673"/>
        <w:ind w:right="38" w:firstLine="0"/>
        <w:tabs>
          <w:tab w:val="left" w:pos="993" w:leader="none"/>
        </w:tabs>
        <w:rPr>
          <w:sz w:val="20"/>
        </w:rPr>
      </w:pPr>
      <w:r>
        <w:rPr>
          <w:rStyle w:val="178"/>
          <w:sz w:val="20"/>
        </w:rPr>
        <w:footnoteRef/>
      </w:r>
      <w:r>
        <w:rPr>
          <w:sz w:val="20"/>
        </w:rPr>
        <w:t xml:space="preserve"> </w:t>
      </w:r>
      <w:r>
        <w:rPr>
          <w:i/>
          <w:sz w:val="20"/>
        </w:rPr>
        <w:t xml:space="preserve">Удельный вес в общем объеме отгруженной продукции </w:t>
      </w:r>
      <w:r>
        <w:rPr>
          <w:sz w:val="20"/>
        </w:rPr>
      </w:r>
      <w:r>
        <w:rPr>
          <w:sz w:val="20"/>
        </w:rPr>
      </w:r>
    </w:p>
  </w:footnote>
  <w:footnote w:id="4">
    <w:p>
      <w:pPr>
        <w:pStyle w:val="176"/>
      </w:pPr>
      <w:r>
        <w:rPr>
          <w:rStyle w:val="178"/>
        </w:rPr>
        <w:footnoteRef/>
      </w:r>
      <w:r>
        <w:t xml:space="preserve"> </w:t>
      </w:r>
      <w:r>
        <w:rPr>
          <w:i/>
        </w:rPr>
        <w:t xml:space="preserve">Абсолютная величина объемов отгруженной продукции по ВЭД</w:t>
      </w:r>
      <w:r/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18"/>
    <w:next w:val="618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12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18"/>
    <w:next w:val="618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12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18"/>
    <w:next w:val="618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12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18"/>
    <w:next w:val="618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12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18"/>
    <w:next w:val="618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12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18"/>
    <w:next w:val="618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12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18"/>
    <w:next w:val="618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12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18"/>
    <w:next w:val="618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12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18"/>
    <w:next w:val="618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12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5">
    <w:name w:val="Title"/>
    <w:basedOn w:val="618"/>
    <w:next w:val="618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12"/>
    <w:link w:val="35"/>
    <w:uiPriority w:val="10"/>
    <w:rPr>
      <w:sz w:val="48"/>
      <w:szCs w:val="48"/>
    </w:rPr>
  </w:style>
  <w:style w:type="paragraph" w:styleId="37">
    <w:name w:val="Subtitle"/>
    <w:basedOn w:val="618"/>
    <w:next w:val="618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12"/>
    <w:link w:val="37"/>
    <w:uiPriority w:val="11"/>
    <w:rPr>
      <w:sz w:val="24"/>
      <w:szCs w:val="24"/>
    </w:rPr>
  </w:style>
  <w:style w:type="paragraph" w:styleId="39">
    <w:name w:val="Quote"/>
    <w:basedOn w:val="618"/>
    <w:next w:val="618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18"/>
    <w:next w:val="618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18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12"/>
    <w:link w:val="43"/>
    <w:uiPriority w:val="99"/>
  </w:style>
  <w:style w:type="paragraph" w:styleId="45">
    <w:name w:val="Footer"/>
    <w:basedOn w:val="618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12"/>
    <w:link w:val="45"/>
    <w:uiPriority w:val="99"/>
  </w:style>
  <w:style w:type="paragraph" w:styleId="47">
    <w:name w:val="Caption"/>
    <w:basedOn w:val="618"/>
    <w:next w:val="618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12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61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317bba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254374" w:themeColor="accent5" w:themeShade="95"/>
        <w:sz w:val="22"/>
      </w:rPr>
    </w:tblStylePr>
    <w:tblStylePr w:type="firstCol">
      <w:rPr>
        <w:rFonts w:ascii="Liberation Sans" w:hAnsi="Liberation Sans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245d8d" w:themeColor="accent1" w:themeShade="95"/>
        <w:sz w:val="22"/>
      </w:rPr>
    </w:tblStylePr>
    <w:tblStylePr w:type="firstCol">
      <w:rPr>
        <w:rFonts w:ascii="Liberation Sans" w:hAnsi="Liberation Sans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45d8d" w:themeColor="accent1" w:themeShade="95"/>
        <w:sz w:val="22"/>
      </w:rPr>
    </w:tblStylePr>
  </w:style>
  <w:style w:type="table" w:styleId="149">
    <w:name w:val="List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150">
    <w:name w:val="List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151">
    <w:name w:val="List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152">
    <w:name w:val="List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335e9e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5e9e" w:themeColor="accent5" w:themeTint="9A" w:themeShade="95"/>
        <w:sz w:val="22"/>
      </w:rPr>
    </w:tblStylePr>
  </w:style>
  <w:style w:type="table" w:styleId="153">
    <w:name w:val="List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154">
    <w:name w:val="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6">
    <w:name w:val="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7">
    <w:name w:val="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8">
    <w:name w:val="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9">
    <w:name w:val="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0">
    <w:name w:val="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1">
    <w:name w:val="Bordered &amp; 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3">
    <w:name w:val="Bordered &amp; 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4">
    <w:name w:val="Bordered &amp; 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5">
    <w:name w:val="Bordered &amp; 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6">
    <w:name w:val="Bordered &amp; 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7">
    <w:name w:val="Bordered &amp; 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8">
    <w:name w:val="Bordered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618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12"/>
    <w:uiPriority w:val="99"/>
    <w:unhideWhenUsed/>
    <w:rPr>
      <w:vertAlign w:val="superscript"/>
    </w:rPr>
  </w:style>
  <w:style w:type="paragraph" w:styleId="179">
    <w:name w:val="endnote text"/>
    <w:basedOn w:val="618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12"/>
    <w:uiPriority w:val="99"/>
    <w:semiHidden/>
    <w:unhideWhenUsed/>
    <w:rPr>
      <w:vertAlign w:val="superscript"/>
    </w:rPr>
  </w:style>
  <w:style w:type="paragraph" w:styleId="182">
    <w:name w:val="toc 1"/>
    <w:basedOn w:val="618"/>
    <w:next w:val="618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18"/>
    <w:next w:val="618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18"/>
    <w:next w:val="618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18"/>
    <w:next w:val="618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18"/>
    <w:next w:val="618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18"/>
    <w:next w:val="618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18"/>
    <w:next w:val="618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18"/>
    <w:next w:val="618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18"/>
    <w:next w:val="618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18"/>
    <w:next w:val="618"/>
    <w:uiPriority w:val="99"/>
    <w:unhideWhenUsed/>
    <w:pPr>
      <w:spacing w:after="0" w:afterAutospacing="0"/>
    </w:pPr>
  </w:style>
  <w:style w:type="paragraph" w:styleId="618" w:default="1">
    <w:name w:val="Normal"/>
    <w:qFormat/>
  </w:style>
  <w:style w:type="table" w:styleId="61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0" w:default="1">
    <w:name w:val="No List"/>
    <w:uiPriority w:val="99"/>
    <w:semiHidden/>
    <w:unhideWhenUsed/>
  </w:style>
  <w:style w:type="paragraph" w:styleId="621">
    <w:name w:val="No Spacing"/>
    <w:basedOn w:val="618"/>
    <w:uiPriority w:val="1"/>
    <w:qFormat/>
    <w:pPr>
      <w:spacing w:after="0" w:line="240" w:lineRule="auto"/>
    </w:pPr>
  </w:style>
  <w:style w:type="paragraph" w:styleId="622">
    <w:name w:val="List Paragraph"/>
    <w:basedOn w:val="618"/>
    <w:uiPriority w:val="34"/>
    <w:qFormat/>
    <w:pPr>
      <w:contextualSpacing/>
      <w:ind w:left="720"/>
    </w:pPr>
  </w:style>
  <w:style w:type="character" w:styleId="627" w:default="1">
    <w:name w:val="Default Paragraph Font"/>
    <w:uiPriority w:val="1"/>
    <w:semiHidden/>
    <w:unhideWhenUsed/>
  </w:style>
  <w:style w:type="paragraph" w:styleId="1_673" w:customStyle="1">
    <w:name w:val="Основной текст 21"/>
    <w:basedOn w:val="1104"/>
    <w:pPr>
      <w:contextualSpacing w:val="0"/>
      <w:ind w:left="0" w:right="0" w:firstLine="720"/>
      <w:jc w:val="both"/>
      <w:keepLines w:val="0"/>
      <w:keepNext w:val="0"/>
      <w:pageBreakBefore w:val="0"/>
      <w:spacing w:before="0" w:beforeAutospacing="0" w:after="0" w:afterAutospacing="0" w:line="240" w:lineRule="auto"/>
      <w:shd w:val="nil" w:color="000000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ekonomika-2</cp:lastModifiedBy>
  <cp:revision>1</cp:revision>
  <dcterms:modified xsi:type="dcterms:W3CDTF">2026-07-03T05:49:24Z</dcterms:modified>
</cp:coreProperties>
</file>